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55" w:rsidRDefault="00CD7F55">
      <w:pPr>
        <w:pStyle w:val="Corpotesto"/>
        <w:spacing w:before="4"/>
        <w:jc w:val="left"/>
        <w:rPr>
          <w:sz w:val="26"/>
        </w:rPr>
      </w:pPr>
    </w:p>
    <w:p w:rsidR="00CD7F55" w:rsidRPr="00ED49EF" w:rsidRDefault="00ED49EF" w:rsidP="00ED49EF">
      <w:pPr>
        <w:tabs>
          <w:tab w:val="left" w:pos="2657"/>
          <w:tab w:val="left" w:pos="6675"/>
        </w:tabs>
        <w:spacing w:before="90"/>
        <w:ind w:left="833"/>
        <w:jc w:val="center"/>
        <w:rPr>
          <w:b/>
          <w:sz w:val="24"/>
        </w:rPr>
      </w:pPr>
      <w:r w:rsidRPr="00ED49EF">
        <w:rPr>
          <w:b/>
          <w:sz w:val="24"/>
        </w:rPr>
        <w:t>Circolare n°</w:t>
      </w:r>
      <w:r w:rsidRPr="00ED49EF">
        <w:rPr>
          <w:b/>
          <w:spacing w:val="59"/>
          <w:sz w:val="24"/>
        </w:rPr>
        <w:t xml:space="preserve"> </w:t>
      </w:r>
      <w:r w:rsidRPr="00ED49EF">
        <w:rPr>
          <w:b/>
          <w:sz w:val="24"/>
        </w:rPr>
        <w:t>14</w:t>
      </w:r>
    </w:p>
    <w:p w:rsidR="00CD7F55" w:rsidRDefault="00CD7F55">
      <w:pPr>
        <w:pStyle w:val="Corpotesto"/>
        <w:spacing w:before="4"/>
        <w:jc w:val="left"/>
        <w:rPr>
          <w:i/>
          <w:sz w:val="34"/>
        </w:rPr>
      </w:pPr>
    </w:p>
    <w:p w:rsidR="00CD7F55" w:rsidRDefault="00ED49EF" w:rsidP="00ED49EF">
      <w:pPr>
        <w:spacing w:before="1"/>
        <w:ind w:left="6233" w:firstLine="247"/>
        <w:rPr>
          <w:i/>
          <w:sz w:val="24"/>
        </w:rPr>
      </w:pPr>
      <w:r>
        <w:rPr>
          <w:i/>
          <w:sz w:val="24"/>
        </w:rPr>
        <w:t>ALLE DITTE ASSOCIATE</w:t>
      </w:r>
    </w:p>
    <w:p w:rsidR="00CD7F55" w:rsidRDefault="00CD7F55">
      <w:pPr>
        <w:pStyle w:val="Corpotesto"/>
        <w:spacing w:before="11"/>
        <w:jc w:val="left"/>
        <w:rPr>
          <w:i/>
          <w:sz w:val="23"/>
        </w:rPr>
      </w:pPr>
    </w:p>
    <w:p w:rsidR="00CD7F55" w:rsidRDefault="00ED49EF">
      <w:pPr>
        <w:ind w:right="756"/>
        <w:jc w:val="right"/>
        <w:rPr>
          <w:i/>
          <w:sz w:val="24"/>
        </w:rPr>
      </w:pPr>
      <w:r>
        <w:rPr>
          <w:i/>
          <w:sz w:val="24"/>
          <w:u w:val="single"/>
        </w:rPr>
        <w:t>LORO SEDI</w:t>
      </w:r>
    </w:p>
    <w:p w:rsidR="00CD7F55" w:rsidRDefault="00CD7F55">
      <w:pPr>
        <w:pStyle w:val="Corpotesto"/>
        <w:jc w:val="left"/>
        <w:rPr>
          <w:i/>
          <w:sz w:val="20"/>
        </w:rPr>
      </w:pPr>
    </w:p>
    <w:p w:rsidR="00CD7F55" w:rsidRDefault="00CD7F55">
      <w:pPr>
        <w:pStyle w:val="Corpotesto"/>
        <w:jc w:val="left"/>
        <w:rPr>
          <w:i/>
          <w:sz w:val="20"/>
        </w:rPr>
      </w:pPr>
    </w:p>
    <w:p w:rsidR="00CD7F55" w:rsidRDefault="00CD7F55">
      <w:pPr>
        <w:pStyle w:val="Corpotesto"/>
        <w:spacing w:before="2"/>
        <w:jc w:val="left"/>
        <w:rPr>
          <w:i/>
        </w:rPr>
      </w:pPr>
    </w:p>
    <w:p w:rsidR="00CD7F55" w:rsidRDefault="00ED49EF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OGGETTO: tenuta registri carico/scarico per depositi di gasolio – nuovi limiti di esenzione.</w:t>
      </w:r>
    </w:p>
    <w:p w:rsidR="00CD7F55" w:rsidRDefault="00CD7F55">
      <w:pPr>
        <w:pStyle w:val="Corpotesto"/>
        <w:jc w:val="left"/>
        <w:rPr>
          <w:i/>
          <w:sz w:val="26"/>
        </w:rPr>
      </w:pPr>
    </w:p>
    <w:p w:rsidR="00CD7F55" w:rsidRDefault="00CD7F55">
      <w:pPr>
        <w:pStyle w:val="Corpotesto"/>
        <w:jc w:val="left"/>
        <w:rPr>
          <w:i/>
          <w:sz w:val="26"/>
        </w:rPr>
      </w:pPr>
    </w:p>
    <w:p w:rsidR="00CD7F55" w:rsidRDefault="00ED49EF">
      <w:pPr>
        <w:pStyle w:val="Corpotesto"/>
        <w:spacing w:before="188"/>
        <w:ind w:left="112" w:right="114" w:firstLine="708"/>
      </w:pPr>
      <w:r>
        <w:t>L'</w:t>
      </w:r>
      <w:r>
        <w:t>esercizio dei depositi e impianti di prodotti energetici (fino al D. Lgs. n. 48/2010, “prodotti petroliferi”) è regolamentato dal decreto legislativo 26 ottobre 1995, n. 504, meglio noto come Testo unico sulle</w:t>
      </w:r>
      <w:r>
        <w:rPr>
          <w:spacing w:val="-2"/>
        </w:rPr>
        <w:t xml:space="preserve"> </w:t>
      </w:r>
      <w:r>
        <w:t>accise.</w:t>
      </w:r>
    </w:p>
    <w:p w:rsidR="00CD7F55" w:rsidRDefault="00ED49EF">
      <w:pPr>
        <w:pStyle w:val="Corpotesto"/>
        <w:spacing w:before="57"/>
        <w:ind w:left="112" w:right="110" w:firstLine="708"/>
      </w:pPr>
      <w:r>
        <w:t>L'art. 25 di tale decreto stabiliva or</w:t>
      </w:r>
      <w:r>
        <w:t xml:space="preserve">iginariamente che i titolari di tali depositi fossero tenuti a denunciarne l'esercizio all'Agenzia delle Dogane quando la capacità globale fosse superiore a 25 metri cubi e, per gli impianti di distribuzione automatica, quando i relativi serbatoi avessero </w:t>
      </w:r>
      <w:r>
        <w:t>una capacità superiore a 10 metri cubi.</w:t>
      </w:r>
    </w:p>
    <w:p w:rsidR="00CD7F55" w:rsidRDefault="00ED49EF">
      <w:pPr>
        <w:pStyle w:val="Corpotesto"/>
        <w:spacing w:before="56"/>
        <w:ind w:left="112" w:right="114" w:firstLine="708"/>
      </w:pPr>
      <w:r>
        <w:t>Si ritiene opportuno premettere che la nozione di “impianto di distribuzione”, automatico o no, sembra riferirsi solo agli impianti forniti di quantificazione – in euro – del valore dei carburanti erogati, come speci</w:t>
      </w:r>
      <w:r>
        <w:t>ficato dalla stessa Agenzia con la circolare n. 44/D del 28 luglio 2003, relativa ad una fattispecie diversa, ma non troppo, dai depositi per uso agricolo o</w:t>
      </w:r>
      <w:r>
        <w:rPr>
          <w:spacing w:val="-2"/>
        </w:rPr>
        <w:t xml:space="preserve"> </w:t>
      </w:r>
      <w:r>
        <w:t>privato.</w:t>
      </w:r>
    </w:p>
    <w:p w:rsidR="00CD7F55" w:rsidRDefault="00ED49EF">
      <w:pPr>
        <w:pStyle w:val="Corpotesto"/>
        <w:spacing w:before="58"/>
        <w:ind w:left="112" w:right="117" w:firstLine="708"/>
      </w:pPr>
      <w:r>
        <w:t xml:space="preserve">Se vale tale specificazione, i “contenitori-distributori” omologati ai sensi del D.M. 19/03/1990, così come quelli che rispettano le regole tecniche di cui al D.M. 22/11/2017 che lo ha abrogato e sostituito, non devono essere considerati come “impianti di </w:t>
      </w:r>
      <w:r>
        <w:t>distribuzione automatica”.</w:t>
      </w:r>
    </w:p>
    <w:p w:rsidR="00CD7F55" w:rsidRDefault="00ED49EF">
      <w:pPr>
        <w:pStyle w:val="Corpotesto"/>
        <w:spacing w:before="57"/>
        <w:ind w:left="112" w:right="117" w:firstLine="708"/>
      </w:pPr>
      <w:r>
        <w:t>Ciò premesso, il decreto legge 26 ottobre 2019, n. 124, convertito dalla legge 19 dicembre 2019, n. 157, ha modificato la precedente disciplina, riducendo i limiti di cui al predetto articolo 25, al di sopra dei quali scatta l'ob</w:t>
      </w:r>
      <w:r>
        <w:t>bligo di denuncia di esercizio all'Agenzia delle Dogane e di tenuta dei registri di carico e scarico.</w:t>
      </w:r>
    </w:p>
    <w:p w:rsidR="00CD7F55" w:rsidRDefault="00ED49EF">
      <w:pPr>
        <w:pStyle w:val="Corpotesto"/>
        <w:spacing w:before="58"/>
        <w:ind w:left="821"/>
      </w:pPr>
      <w:r>
        <w:t>I nuovi limiti sono i seguenti: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7"/>
        <w:ind w:hanging="361"/>
        <w:rPr>
          <w:sz w:val="24"/>
        </w:rPr>
      </w:pPr>
      <w:r>
        <w:rPr>
          <w:sz w:val="24"/>
        </w:rPr>
        <w:t>10 metri cubi, per i depositi di prodotti energetici per uso privato, agricolo e</w:t>
      </w:r>
      <w:r>
        <w:rPr>
          <w:spacing w:val="-8"/>
          <w:sz w:val="24"/>
        </w:rPr>
        <w:t xml:space="preserve"> </w:t>
      </w:r>
      <w:r>
        <w:rPr>
          <w:sz w:val="24"/>
        </w:rPr>
        <w:t>industriale;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4"/>
        <w:ind w:right="121"/>
        <w:rPr>
          <w:sz w:val="24"/>
        </w:rPr>
      </w:pPr>
      <w:r>
        <w:rPr>
          <w:sz w:val="24"/>
        </w:rPr>
        <w:t>5 metri cubi, per gli impian</w:t>
      </w:r>
      <w:r>
        <w:rPr>
          <w:sz w:val="24"/>
        </w:rPr>
        <w:t>ti di distribuzione automatica di prodotti energetici per uso privato, agricolo e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industriale.</w:t>
      </w:r>
    </w:p>
    <w:p w:rsidR="00CD7F55" w:rsidRDefault="00ED49EF">
      <w:pPr>
        <w:pStyle w:val="Corpotesto"/>
        <w:spacing w:before="58"/>
        <w:ind w:left="112" w:right="109" w:firstLine="708"/>
      </w:pPr>
      <w:r>
        <w:t xml:space="preserve">I depositi e gli impianti “minori”, con capacità globale compresa fra il nuovo ed il vecchio limite – rispettivamente fra 10 e 25 m.c. per i depositi, e fra 5 e </w:t>
      </w:r>
      <w:r>
        <w:t>10 m.c. per gli impianti – sono soggetti a regole semplificate per quanto riguarda la tenuta dei registri di carico e scarico.</w:t>
      </w:r>
    </w:p>
    <w:p w:rsidR="00CD7F55" w:rsidRDefault="00ED49EF">
      <w:pPr>
        <w:pStyle w:val="Corpotesto"/>
        <w:spacing w:before="57"/>
        <w:ind w:left="112" w:right="117" w:firstLine="708"/>
      </w:pPr>
      <w:r>
        <w:t>Come previsto dal decreto legge (norma confermata in sede di conversione), entro i 60 giorni successivi alla sua entrata in vigor</w:t>
      </w:r>
      <w:r>
        <w:t>e, l'Agenzia delle Dogane ha impartito le relative disposizioni applicative, che tuttavia si limitano alla sola tenuta dei registri, e non già alle modalità di denuncia agli uffici</w:t>
      </w:r>
      <w:r>
        <w:rPr>
          <w:spacing w:val="-1"/>
        </w:rPr>
        <w:t xml:space="preserve"> </w:t>
      </w:r>
      <w:r>
        <w:t>territoriali.</w:t>
      </w:r>
    </w:p>
    <w:p w:rsidR="00CD7F55" w:rsidRDefault="00CD7F55">
      <w:pPr>
        <w:sectPr w:rsidR="00CD7F55">
          <w:headerReference w:type="default" r:id="rId8"/>
          <w:footerReference w:type="default" r:id="rId9"/>
          <w:type w:val="continuous"/>
          <w:pgSz w:w="11910" w:h="16840"/>
          <w:pgMar w:top="2700" w:right="1020" w:bottom="740" w:left="1020" w:header="1133" w:footer="557" w:gutter="0"/>
          <w:cols w:space="720"/>
        </w:sectPr>
      </w:pPr>
    </w:p>
    <w:p w:rsidR="00CD7F55" w:rsidRDefault="00ED49EF">
      <w:pPr>
        <w:pStyle w:val="Corpotesto"/>
        <w:ind w:left="112" w:right="115" w:firstLine="708"/>
      </w:pPr>
      <w:r>
        <w:lastRenderedPageBreak/>
        <w:t xml:space="preserve">Il decreto direttoriale Prot. 240433/RU del 27 dicembre 2019, pubblicato sul sito Internet dell'Agenzia </w:t>
      </w:r>
      <w:r>
        <w:t xml:space="preserve"> stabilisce che i titolari dei depositi e impianti “</w:t>
      </w:r>
      <w:r>
        <w:t>minori” tengano il registro di carico e scarico secondo modalità</w:t>
      </w:r>
      <w:r>
        <w:rPr>
          <w:spacing w:val="-3"/>
        </w:rPr>
        <w:t xml:space="preserve"> </w:t>
      </w:r>
      <w:r>
        <w:t>semplificate.</w:t>
      </w:r>
    </w:p>
    <w:p w:rsidR="00CD7F55" w:rsidRDefault="00ED49EF">
      <w:pPr>
        <w:pStyle w:val="Corpotesto"/>
        <w:spacing w:before="57"/>
        <w:ind w:left="112" w:right="117" w:firstLine="708"/>
      </w:pPr>
      <w:r>
        <w:t xml:space="preserve">L'obbligo di tenuta del registro decorre dal primo giorno del quarto mese successivo alla pubblicazione del decreto direttoriale: poiché questa è avvenuta nel mese di dicembre, </w:t>
      </w:r>
      <w:r>
        <w:t>il registro deve essere attivato entro le ore 00:00 del 1° aprile (quindi entro la mezzanotte del 31 marzo).</w:t>
      </w:r>
    </w:p>
    <w:p w:rsidR="00CD7F55" w:rsidRDefault="00ED49EF">
      <w:pPr>
        <w:pStyle w:val="Corpotesto"/>
        <w:spacing w:before="57"/>
        <w:ind w:left="112" w:right="120" w:firstLine="708"/>
      </w:pPr>
      <w:r>
        <w:t>Alla stessa data verranno indicate, in carico, le giacenze dei vari prodotti energetici presenti nel deposito; i successivi acquisti dovranno esser</w:t>
      </w:r>
      <w:r>
        <w:t>e annotati sul registro entro le ore 9:00 del giorno successivo a quello del documento di accompagnamento (DAS) del prodotto ricevuto.</w:t>
      </w:r>
    </w:p>
    <w:p w:rsidR="00CD7F55" w:rsidRDefault="00ED49EF">
      <w:pPr>
        <w:pStyle w:val="Corpotesto"/>
        <w:spacing w:before="58"/>
        <w:ind w:left="112" w:right="109" w:firstLine="708"/>
      </w:pPr>
      <w:r>
        <w:t>Di seguito si riportano le novità di maggiore rilievo, rispetto ai depositi ed impianti di capacità superiore, soggetti a</w:t>
      </w:r>
      <w:r>
        <w:t xml:space="preserve"> denuncia di esercizio e alla tenuta dei registri: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8"/>
        <w:ind w:hanging="361"/>
        <w:rPr>
          <w:sz w:val="24"/>
        </w:rPr>
      </w:pPr>
      <w:r>
        <w:rPr>
          <w:sz w:val="24"/>
        </w:rPr>
        <w:t xml:space="preserve">il registro </w:t>
      </w:r>
      <w:r>
        <w:rPr>
          <w:b/>
          <w:i/>
          <w:sz w:val="24"/>
        </w:rPr>
        <w:t xml:space="preserve">non è soggetto </w:t>
      </w:r>
      <w:r>
        <w:rPr>
          <w:sz w:val="24"/>
        </w:rPr>
        <w:t>a preventiva</w:t>
      </w:r>
      <w:r>
        <w:rPr>
          <w:spacing w:val="-4"/>
          <w:sz w:val="24"/>
        </w:rPr>
        <w:t xml:space="preserve"> </w:t>
      </w:r>
      <w:r>
        <w:rPr>
          <w:sz w:val="24"/>
        </w:rPr>
        <w:t>vidimazione;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4"/>
        <w:ind w:right="117"/>
        <w:rPr>
          <w:sz w:val="24"/>
        </w:rPr>
      </w:pPr>
      <w:r>
        <w:rPr>
          <w:sz w:val="24"/>
        </w:rPr>
        <w:t>può essere tenuto su supporto cartaceo o digitale; in tal caso potrebbe andare bene anche un semplice foglio di</w:t>
      </w:r>
      <w:r>
        <w:rPr>
          <w:spacing w:val="-3"/>
          <w:sz w:val="24"/>
        </w:rPr>
        <w:t xml:space="preserve"> </w:t>
      </w:r>
      <w:r>
        <w:rPr>
          <w:sz w:val="24"/>
        </w:rPr>
        <w:t>calcolo;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ind w:right="119"/>
        <w:rPr>
          <w:sz w:val="24"/>
        </w:rPr>
      </w:pPr>
      <w:r>
        <w:rPr>
          <w:sz w:val="24"/>
        </w:rPr>
        <w:t>il registro deve essere tenuto presso l'impianto, all'interno della contabilità aziendale; nulla</w:t>
      </w:r>
      <w:r>
        <w:rPr>
          <w:spacing w:val="-18"/>
          <w:sz w:val="24"/>
        </w:rPr>
        <w:t xml:space="preserve"> </w:t>
      </w:r>
      <w:r>
        <w:rPr>
          <w:sz w:val="24"/>
        </w:rPr>
        <w:t>si dice riguardo alle aziende che tengono le scritture contabili presso terzi: l'argomento dovrà essere oggetto di un successivo approfondimento con la D.G.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gane;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ind w:right="120"/>
        <w:rPr>
          <w:sz w:val="24"/>
        </w:rPr>
      </w:pPr>
      <w:r>
        <w:rPr>
          <w:sz w:val="24"/>
        </w:rPr>
        <w:t>le modalità di tenuta del registro (cartaceo o elettronico) devono essere specificate nella denuncia di esercizio</w:t>
      </w:r>
      <w:r>
        <w:rPr>
          <w:spacing w:val="-1"/>
          <w:sz w:val="24"/>
        </w:rPr>
        <w:t xml:space="preserve"> </w:t>
      </w:r>
      <w:r>
        <w:rPr>
          <w:sz w:val="24"/>
        </w:rPr>
        <w:t>iniziale;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9"/>
        <w:ind w:hanging="361"/>
        <w:rPr>
          <w:sz w:val="24"/>
        </w:rPr>
      </w:pPr>
      <w:r>
        <w:rPr>
          <w:sz w:val="24"/>
        </w:rPr>
        <w:t>il registro non ha scadenza e vale fino alla comunicazione di cessazione</w:t>
      </w:r>
      <w:r>
        <w:rPr>
          <w:spacing w:val="-7"/>
          <w:sz w:val="24"/>
        </w:rPr>
        <w:t xml:space="preserve"> </w:t>
      </w:r>
      <w:r>
        <w:rPr>
          <w:sz w:val="24"/>
        </w:rPr>
        <w:t>all'Agenzia;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4"/>
        <w:ind w:right="115"/>
        <w:rPr>
          <w:sz w:val="24"/>
        </w:rPr>
      </w:pPr>
      <w:r>
        <w:rPr>
          <w:sz w:val="24"/>
        </w:rPr>
        <w:t>sul registro devono essere indicati separatamente i vari prodotti energetici, come ad esempio il gasolio agricolo, quello per autotrazione,</w:t>
      </w:r>
      <w:r>
        <w:rPr>
          <w:spacing w:val="-3"/>
          <w:sz w:val="24"/>
        </w:rPr>
        <w:t xml:space="preserve"> </w:t>
      </w:r>
      <w:r>
        <w:rPr>
          <w:sz w:val="24"/>
        </w:rPr>
        <w:t>ecc.;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spacing w:before="57"/>
        <w:ind w:right="116"/>
        <w:rPr>
          <w:sz w:val="24"/>
        </w:rPr>
      </w:pPr>
      <w:r>
        <w:rPr>
          <w:sz w:val="24"/>
        </w:rPr>
        <w:t>le registrazioni di scarico sono cumulative, per ciascun prodotto, e devono essere effettuate ogni sette giorn</w:t>
      </w:r>
      <w:r>
        <w:rPr>
          <w:sz w:val="24"/>
        </w:rPr>
        <w:t>i; per i soli “distributori minori” è ammessa la registrazione con cadenza mensile dei litri erogati sulla base di quanto indicato dal dispositivo</w:t>
      </w:r>
      <w:r>
        <w:rPr>
          <w:spacing w:val="51"/>
          <w:sz w:val="24"/>
        </w:rPr>
        <w:t xml:space="preserve"> </w:t>
      </w:r>
      <w:r>
        <w:rPr>
          <w:sz w:val="24"/>
        </w:rPr>
        <w:t>totalizzatore;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34"/>
        </w:tabs>
        <w:ind w:right="116"/>
        <w:rPr>
          <w:sz w:val="24"/>
        </w:rPr>
      </w:pPr>
      <w:r>
        <w:rPr>
          <w:sz w:val="24"/>
        </w:rPr>
        <w:t xml:space="preserve">la comunicazione dei dati all'Agenzia delle Dogane avviene con cadenza annuale, entro il mese </w:t>
      </w:r>
      <w:r>
        <w:rPr>
          <w:sz w:val="24"/>
        </w:rPr>
        <w:t>di febbraio dell'anno successivo; la trasmissione – del documento cartaceo o del registro elettronico – deve essere fatta tramite</w:t>
      </w:r>
      <w:r>
        <w:rPr>
          <w:spacing w:val="-5"/>
          <w:sz w:val="24"/>
        </w:rPr>
        <w:t xml:space="preserve"> </w:t>
      </w:r>
      <w:r>
        <w:rPr>
          <w:sz w:val="24"/>
        </w:rPr>
        <w:t>PEC.</w:t>
      </w:r>
    </w:p>
    <w:p w:rsidR="00CD7F55" w:rsidRDefault="00ED49EF">
      <w:pPr>
        <w:pStyle w:val="Corpotesto"/>
        <w:spacing w:before="57"/>
        <w:ind w:left="112" w:right="114" w:firstLine="708"/>
      </w:pPr>
      <w:r>
        <w:t>Come si può vedere, si tratta di semplificazioni sostanziali rispetto agli obblighi previsti per gli impianti e i deposit</w:t>
      </w:r>
      <w:r>
        <w:t>i di capacità superiore, tuttavia i nuovi adempimenti si sommano a quelli già esistenti in relazione ad altre previsioni normative.</w:t>
      </w:r>
    </w:p>
    <w:p w:rsidR="00CD7F55" w:rsidRDefault="00ED49EF">
      <w:pPr>
        <w:pStyle w:val="Corpotesto"/>
        <w:spacing w:before="56"/>
        <w:ind w:left="112" w:right="119" w:firstLine="708"/>
      </w:pPr>
      <w:r>
        <w:t>Ciò riguarda in particolare il gasolio agevolato che, in base al D.M. 454/2001, prevede obblighi assai simili a quelli intro</w:t>
      </w:r>
      <w:r>
        <w:t>dotti dal DL n.</w:t>
      </w:r>
      <w:r>
        <w:rPr>
          <w:spacing w:val="54"/>
        </w:rPr>
        <w:t xml:space="preserve"> </w:t>
      </w:r>
      <w:r>
        <w:t>124/2019: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94"/>
        </w:tabs>
        <w:spacing w:before="57"/>
        <w:ind w:left="893" w:right="120"/>
        <w:rPr>
          <w:sz w:val="24"/>
        </w:rPr>
      </w:pPr>
      <w:r>
        <w:rPr>
          <w:sz w:val="24"/>
        </w:rPr>
        <w:t>il prodotto viene acquistato sulla base di un provvedimento di concessione e annotato (carico) sul libretto di controllo direttamente dal fornitore, con timbro e</w:t>
      </w:r>
      <w:r>
        <w:rPr>
          <w:spacing w:val="-6"/>
          <w:sz w:val="24"/>
        </w:rPr>
        <w:t xml:space="preserve"> </w:t>
      </w:r>
      <w:r>
        <w:rPr>
          <w:sz w:val="24"/>
        </w:rPr>
        <w:t>firma;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94"/>
        </w:tabs>
        <w:spacing w:before="57"/>
        <w:ind w:left="893" w:right="113"/>
        <w:rPr>
          <w:sz w:val="24"/>
        </w:rPr>
      </w:pPr>
      <w:r>
        <w:rPr>
          <w:sz w:val="24"/>
        </w:rPr>
        <w:t>il consumo (scarico) deve essere annotato, sullo stesso libre</w:t>
      </w:r>
      <w:r>
        <w:rPr>
          <w:sz w:val="24"/>
        </w:rPr>
        <w:t>tto (da parte dell'agricoltore) o sulla scheda cliente entro cinque giorni dal completamento dei lavori, per l'impresa agromeccanica;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94"/>
        </w:tabs>
        <w:ind w:left="893" w:right="115"/>
        <w:rPr>
          <w:sz w:val="24"/>
        </w:rPr>
      </w:pPr>
      <w:r>
        <w:rPr>
          <w:sz w:val="24"/>
        </w:rPr>
        <w:t>i prelievi e relativi consumi sono soggetti a rendicontazione – alla Regione o all'ente delegato – con cadenza annuale;</w:t>
      </w:r>
    </w:p>
    <w:p w:rsidR="00CD7F55" w:rsidRDefault="00ED49EF">
      <w:pPr>
        <w:pStyle w:val="Paragrafoelenco"/>
        <w:numPr>
          <w:ilvl w:val="0"/>
          <w:numId w:val="1"/>
        </w:numPr>
        <w:tabs>
          <w:tab w:val="left" w:pos="894"/>
        </w:tabs>
        <w:spacing w:before="57"/>
        <w:ind w:left="893" w:right="116"/>
        <w:rPr>
          <w:sz w:val="24"/>
        </w:rPr>
      </w:pPr>
      <w:r>
        <w:rPr>
          <w:sz w:val="24"/>
        </w:rPr>
        <w:t>l'</w:t>
      </w:r>
      <w:r>
        <w:rPr>
          <w:sz w:val="24"/>
        </w:rPr>
        <w:t>ente comunica all'Agenzia delle Dogane le eventuali irregolarità emerse in sede di rendicontazione da parte dei beneficiari</w:t>
      </w:r>
      <w:r>
        <w:rPr>
          <w:spacing w:val="-3"/>
          <w:sz w:val="24"/>
        </w:rPr>
        <w:t xml:space="preserve"> </w:t>
      </w:r>
      <w:r>
        <w:rPr>
          <w:sz w:val="24"/>
        </w:rPr>
        <w:t>dell'agevolazione.</w:t>
      </w:r>
    </w:p>
    <w:p w:rsidR="00CD7F55" w:rsidRDefault="00CD7F55">
      <w:pPr>
        <w:pStyle w:val="Corpotesto"/>
        <w:spacing w:before="9"/>
        <w:jc w:val="left"/>
        <w:rPr>
          <w:sz w:val="20"/>
        </w:rPr>
      </w:pPr>
    </w:p>
    <w:p w:rsidR="00CD7F55" w:rsidRDefault="00CD7F55">
      <w:pPr>
        <w:rPr>
          <w:rFonts w:ascii="Arial" w:hAnsi="Arial"/>
          <w:sz w:val="16"/>
        </w:rPr>
        <w:sectPr w:rsidR="00CD7F55">
          <w:headerReference w:type="default" r:id="rId10"/>
          <w:footerReference w:type="default" r:id="rId11"/>
          <w:pgSz w:w="11910" w:h="16840"/>
          <w:pgMar w:top="2660" w:right="1020" w:bottom="280" w:left="1020" w:header="1133" w:footer="0" w:gutter="0"/>
          <w:cols w:space="720"/>
        </w:sectPr>
      </w:pPr>
    </w:p>
    <w:p w:rsidR="00CD7F55" w:rsidRDefault="00CD7F55">
      <w:pPr>
        <w:pStyle w:val="Corpotesto"/>
        <w:spacing w:before="10"/>
        <w:jc w:val="left"/>
        <w:rPr>
          <w:rFonts w:ascii="Arial"/>
          <w:i/>
          <w:sz w:val="15"/>
        </w:rPr>
      </w:pPr>
    </w:p>
    <w:p w:rsidR="00CD7F55" w:rsidRDefault="00ED49EF">
      <w:pPr>
        <w:pStyle w:val="Corpotesto"/>
        <w:spacing w:before="90"/>
        <w:ind w:left="112" w:right="118" w:firstLine="708"/>
      </w:pPr>
      <w:r>
        <w:t>Queste analogie, che portano a considerare i nuovi obblighi come una duplicazione rispetto alla normativa in materia di carburanti agricoli, sono state segnalate dalla scrivente fin d</w:t>
      </w:r>
      <w:r>
        <w:t>alla prima bozza elaborata dal Consiglio dei Ministri, ma non hanno finora trovato accoglimento.</w:t>
      </w:r>
    </w:p>
    <w:p w:rsidR="00CD7F55" w:rsidRDefault="00ED49EF">
      <w:pPr>
        <w:pStyle w:val="Corpotesto"/>
        <w:spacing w:before="55"/>
        <w:ind w:left="112" w:right="119" w:firstLine="708"/>
      </w:pPr>
      <w:r>
        <w:t>Al riguardo, la relazione tecnica di accompagnamento al provvedimento faceva esplicito riferimento ai soli depositi di natura commerciale, relativamente ai qua</w:t>
      </w:r>
      <w:r>
        <w:t>li la riduzione dei limiti di capacità per l'esercizio dei controlli da parte dell'Agenzia delle Dogane avrebbe potuto svolgere un ruolo significativo sul fronte della lotta all'evasione delle accise.</w:t>
      </w:r>
    </w:p>
    <w:p w:rsidR="00CD7F55" w:rsidRDefault="00ED49EF">
      <w:pPr>
        <w:pStyle w:val="Corpotesto"/>
        <w:spacing w:before="58"/>
        <w:ind w:left="112" w:right="115" w:firstLine="708"/>
      </w:pPr>
      <w:r>
        <w:t>Allo stato attuale, la scrivente Confederazione sta int</w:t>
      </w:r>
      <w:r>
        <w:t>eressando la competente Direzione generale riguardo agli adempimenti preparatori, ed in particolare a quelli relativi alla denuncia di esercizio del deposito, nonché all'eventuale integrazione del decreto direttoriale, relativamente alla possibilità di amm</w:t>
      </w:r>
      <w:r>
        <w:t>ettere alla registrazione mensile anche i semplici “depositi”, se muniti di dispositivi per la quantificazione dei litri</w:t>
      </w:r>
      <w:r>
        <w:rPr>
          <w:spacing w:val="-3"/>
        </w:rPr>
        <w:t xml:space="preserve"> </w:t>
      </w:r>
      <w:r>
        <w:t>erogati.</w:t>
      </w:r>
    </w:p>
    <w:p w:rsidR="00CD7F55" w:rsidRDefault="00ED49EF">
      <w:pPr>
        <w:pStyle w:val="Corpotesto"/>
        <w:spacing w:before="58"/>
        <w:ind w:left="112" w:right="114" w:firstLine="708"/>
      </w:pPr>
      <w:r>
        <w:t>Ci si riserva pertanto di intervenire con ulteriori approfondimenti, in relazione sia alle ulteriori precisazioni da parte della Direzione Generale delle Dogane, sia agli interrogativi che le Organizzazioni territoriali vorranno</w:t>
      </w:r>
      <w:r>
        <w:rPr>
          <w:spacing w:val="-1"/>
        </w:rPr>
        <w:t xml:space="preserve"> </w:t>
      </w:r>
      <w:r>
        <w:t>condividere.</w:t>
      </w:r>
    </w:p>
    <w:p w:rsidR="00CD7F55" w:rsidRDefault="00CD7F55">
      <w:pPr>
        <w:pStyle w:val="Corpotesto"/>
        <w:spacing w:before="10"/>
        <w:jc w:val="left"/>
        <w:rPr>
          <w:sz w:val="33"/>
        </w:rPr>
      </w:pPr>
    </w:p>
    <w:p w:rsidR="00CD7F55" w:rsidRDefault="00ED49EF">
      <w:pPr>
        <w:ind w:left="821"/>
        <w:rPr>
          <w:i/>
          <w:sz w:val="24"/>
        </w:rPr>
      </w:pPr>
      <w:r>
        <w:rPr>
          <w:i/>
          <w:sz w:val="24"/>
        </w:rPr>
        <w:t>Cordiali sal</w:t>
      </w:r>
      <w:r>
        <w:rPr>
          <w:i/>
          <w:sz w:val="24"/>
        </w:rPr>
        <w:t>uti.</w:t>
      </w:r>
    </w:p>
    <w:p w:rsidR="00ED49EF" w:rsidRDefault="00ED49EF">
      <w:pPr>
        <w:ind w:left="821"/>
        <w:rPr>
          <w:i/>
          <w:sz w:val="24"/>
        </w:rPr>
      </w:pPr>
    </w:p>
    <w:p w:rsidR="00ED49EF" w:rsidRDefault="00ED49EF" w:rsidP="00ED49EF">
      <w:pPr>
        <w:tabs>
          <w:tab w:val="left" w:pos="7475"/>
        </w:tabs>
        <w:ind w:left="821"/>
        <w:rPr>
          <w:i/>
          <w:sz w:val="24"/>
        </w:rPr>
      </w:pPr>
      <w:r>
        <w:rPr>
          <w:i/>
          <w:sz w:val="24"/>
        </w:rPr>
        <w:tab/>
      </w:r>
    </w:p>
    <w:p w:rsidR="00ED49EF" w:rsidRDefault="00ED49EF" w:rsidP="00ED49EF">
      <w:pPr>
        <w:tabs>
          <w:tab w:val="left" w:pos="7475"/>
        </w:tabs>
        <w:ind w:left="821"/>
        <w:rPr>
          <w:i/>
          <w:sz w:val="24"/>
        </w:rPr>
      </w:pPr>
      <w:r>
        <w:rPr>
          <w:i/>
          <w:sz w:val="24"/>
        </w:rPr>
        <w:tab/>
        <w:t>C.E.D.E.S. SOC. COOP.</w:t>
      </w:r>
      <w:bookmarkStart w:id="0" w:name="_GoBack"/>
      <w:bookmarkEnd w:id="0"/>
    </w:p>
    <w:p w:rsidR="00ED49EF" w:rsidRDefault="00ED49EF">
      <w:pPr>
        <w:ind w:left="821"/>
        <w:rPr>
          <w:i/>
          <w:sz w:val="24"/>
        </w:rPr>
      </w:pPr>
    </w:p>
    <w:p w:rsidR="00ED49EF" w:rsidRDefault="00ED49EF">
      <w:pPr>
        <w:ind w:left="821"/>
        <w:rPr>
          <w:i/>
          <w:sz w:val="24"/>
        </w:rPr>
      </w:pPr>
    </w:p>
    <w:p w:rsidR="00ED49EF" w:rsidRDefault="00ED49EF">
      <w:pPr>
        <w:ind w:left="821"/>
        <w:rPr>
          <w:i/>
          <w:sz w:val="24"/>
        </w:rPr>
      </w:pPr>
    </w:p>
    <w:p w:rsidR="00CD7F55" w:rsidRDefault="00CD7F55">
      <w:pPr>
        <w:pStyle w:val="Corpotesto"/>
        <w:jc w:val="left"/>
        <w:rPr>
          <w:i/>
          <w:sz w:val="26"/>
        </w:rPr>
      </w:pPr>
    </w:p>
    <w:p w:rsidR="00CD7F55" w:rsidRDefault="00CD7F55">
      <w:pPr>
        <w:pStyle w:val="Corpotesto"/>
        <w:spacing w:before="2"/>
        <w:jc w:val="left"/>
        <w:rPr>
          <w:i/>
          <w:sz w:val="28"/>
        </w:rPr>
      </w:pPr>
    </w:p>
    <w:p w:rsidR="00CD7F55" w:rsidRPr="00ED49EF" w:rsidRDefault="00CD7F55" w:rsidP="00ED49EF">
      <w:pPr>
        <w:tabs>
          <w:tab w:val="left" w:pos="1193"/>
          <w:tab w:val="left" w:pos="1194"/>
        </w:tabs>
        <w:spacing w:before="121"/>
        <w:rPr>
          <w:i/>
          <w:sz w:val="24"/>
        </w:rPr>
      </w:pPr>
    </w:p>
    <w:sectPr w:rsidR="00CD7F55" w:rsidRPr="00ED49EF">
      <w:headerReference w:type="default" r:id="rId12"/>
      <w:footerReference w:type="default" r:id="rId13"/>
      <w:pgSz w:w="11910" w:h="16840"/>
      <w:pgMar w:top="2700" w:right="1020" w:bottom="740" w:left="1020" w:header="1133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9EF">
      <w:r>
        <w:separator/>
      </w:r>
    </w:p>
  </w:endnote>
  <w:endnote w:type="continuationSeparator" w:id="0">
    <w:p w:rsidR="00000000" w:rsidRDefault="00ED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tist">
    <w:altName w:val="Courier New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Default="00ED49EF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513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10163175</wp:posOffset>
              </wp:positionV>
              <wp:extent cx="5753100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5633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800.25pt" to="538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xXHQIAAEA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" strokeweight=".15647mm">
              <v:stroke dashstyle="dot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Default="00CD7F55">
    <w:pPr>
      <w:pStyle w:val="Corpotesto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Default="00ED49EF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10163175</wp:posOffset>
              </wp:positionV>
              <wp:extent cx="57531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5633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800.25pt" to="538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qhHQIAAD8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" strokeweight=".15647mm">
              <v:stroke dashstyle="dot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9EF">
      <w:r>
        <w:separator/>
      </w:r>
    </w:p>
  </w:footnote>
  <w:footnote w:type="continuationSeparator" w:id="0">
    <w:p w:rsidR="00000000" w:rsidRDefault="00ED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Default="00ED49EF" w:rsidP="00ED49EF">
    <w:pPr>
      <w:pStyle w:val="Corpotesto"/>
      <w:tabs>
        <w:tab w:val="left" w:pos="3318"/>
      </w:tabs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487520768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-42545</wp:posOffset>
              </wp:positionV>
              <wp:extent cx="2924810" cy="730250"/>
              <wp:effectExtent l="0" t="0" r="0" b="0"/>
              <wp:wrapSquare wrapText="bothSides"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9EF" w:rsidRDefault="00ED49EF" w:rsidP="00ED49EF">
                          <w:pPr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b/>
                              <w:color w:val="000080"/>
                              <w:sz w:val="24"/>
                            </w:rPr>
                            <w:t>C.E.D.E.S.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centro elaborazione dati e servizi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soc. coop.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</w:p>
                        <w:p w:rsidR="00ED49EF" w:rsidRDefault="00ED49EF" w:rsidP="00ED49EF">
                          <w:pPr>
                            <w:pStyle w:val="Intestazione"/>
                            <w:shd w:val="clear" w:color="auto" w:fill="FFFFFF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7.35pt;margin-top:-3.35pt;width:230.3pt;height:57.5pt;z-index:48752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LRewIAAAE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" stroked="f">
              <v:textbox inset="0,0,0,0">
                <w:txbxContent>
                  <w:p w:rsidR="00ED49EF" w:rsidRDefault="00ED49EF" w:rsidP="00ED49EF">
                    <w:pPr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b/>
                        <w:color w:val="000080"/>
                        <w:sz w:val="24"/>
                      </w:rPr>
                      <w:t>C.E.D.E.S.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centro elaborazione dati e servizi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soc. coop.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</w:p>
                  <w:p w:rsidR="00ED49EF" w:rsidRDefault="00ED49EF" w:rsidP="00ED49EF">
                    <w:pPr>
                      <w:pStyle w:val="Intestazione"/>
                      <w:shd w:val="clear" w:color="auto" w:fill="FFFFFF"/>
                      <w:tabs>
                        <w:tab w:val="clear" w:pos="4819"/>
                        <w:tab w:val="clear" w:pos="9638"/>
                      </w:tabs>
                      <w:rPr>
                        <w:sz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object w:dxaOrig="284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1" type="#_x0000_t75" style="width:58.25pt;height:58.25pt" o:ole="" filled="t">
          <v:fill color2="black"/>
          <v:imagedata r:id="rId1" o:title=""/>
        </v:shape>
        <o:OLEObject Type="Embed" ProgID="Microsoft" ShapeID="_x0000_i1051" DrawAspect="Content" ObjectID="_1641656860" r:id="rId2"/>
      </w:objec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1716405</wp:posOffset>
              </wp:positionV>
              <wp:extent cx="6113780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0"/>
                      </a:xfrm>
                      <a:prstGeom prst="line">
                        <a:avLst/>
                      </a:prstGeom>
                      <a:noFill/>
                      <a:ln w="5633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5.15pt" to="538.4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" strokeweight=".15647mm">
              <v:stroke dashstyle="dot"/>
              <w10:wrap anchorx="page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Pr="00ED49EF" w:rsidRDefault="00ED49EF" w:rsidP="00ED49EF">
    <w:pPr>
      <w:pStyle w:val="Intestazione"/>
      <w:tabs>
        <w:tab w:val="clear" w:pos="4819"/>
        <w:tab w:val="clear" w:pos="9638"/>
        <w:tab w:val="left" w:pos="1841"/>
      </w:tabs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487521792" behindDoc="0" locked="0" layoutInCell="1" allowOverlap="1">
              <wp:simplePos x="0" y="0"/>
              <wp:positionH relativeFrom="column">
                <wp:posOffset>967740</wp:posOffset>
              </wp:positionH>
              <wp:positionV relativeFrom="paragraph">
                <wp:posOffset>109855</wp:posOffset>
              </wp:positionV>
              <wp:extent cx="2924810" cy="730250"/>
              <wp:effectExtent l="0" t="0" r="0" b="0"/>
              <wp:wrapSquare wrapText="bothSides"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9EF" w:rsidRDefault="00ED49EF" w:rsidP="00ED49EF">
                          <w:pPr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b/>
                              <w:color w:val="000080"/>
                              <w:sz w:val="24"/>
                            </w:rPr>
                            <w:t>C.E.D.E.S.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centro elaborazione dati e servizi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soc. coop.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</w:p>
                        <w:p w:rsidR="00ED49EF" w:rsidRDefault="00ED49EF" w:rsidP="00ED49EF">
                          <w:pPr>
                            <w:pStyle w:val="Intestazione"/>
                            <w:shd w:val="clear" w:color="auto" w:fill="FFFFFF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76.2pt;margin-top:8.65pt;width:230.3pt;height:57.5pt;z-index:48752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ORfQIAAAgFAAAOAAAAZHJzL2Uyb0RvYy54bWysVNuO2yAQfa/Uf0C8Z32ps4mtOKu9NFWl&#10;7UXa7QcQwDEqBgok9nbVf++A43S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" stroked="f">
              <v:textbox inset="0,0,0,0">
                <w:txbxContent>
                  <w:p w:rsidR="00ED49EF" w:rsidRDefault="00ED49EF" w:rsidP="00ED49EF">
                    <w:pPr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b/>
                        <w:color w:val="000080"/>
                        <w:sz w:val="24"/>
                      </w:rPr>
                      <w:t>C.E.D.E.S.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centro elaborazione dati e servizi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soc. coop.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</w:p>
                  <w:p w:rsidR="00ED49EF" w:rsidRDefault="00ED49EF" w:rsidP="00ED49EF">
                    <w:pPr>
                      <w:pStyle w:val="Intestazione"/>
                      <w:shd w:val="clear" w:color="auto" w:fill="FFFFFF"/>
                      <w:tabs>
                        <w:tab w:val="clear" w:pos="4819"/>
                        <w:tab w:val="clear" w:pos="9638"/>
                      </w:tabs>
                      <w:rPr>
                        <w:sz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object w:dxaOrig="284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8.25pt;height:58.25pt" o:ole="" filled="t">
          <v:fill color2="black"/>
          <v:imagedata r:id="rId1" o:title=""/>
        </v:shape>
        <o:OLEObject Type="Embed" ProgID="Microsoft" ShapeID="_x0000_i1029" DrawAspect="Content" ObjectID="_1641656861" r:id="rId2"/>
      </w:objec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5" w:rsidRDefault="00ED49EF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1716405</wp:posOffset>
              </wp:positionV>
              <wp:extent cx="6113780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0"/>
                      </a:xfrm>
                      <a:prstGeom prst="line">
                        <a:avLst/>
                      </a:prstGeom>
                      <a:noFill/>
                      <a:ln w="5633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5.15pt" to="538.4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tLHQIAAD8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" strokeweight=".15647mm">
              <v:stroke dashstyle="dot"/>
              <w10:wrap anchorx="page" anchory="page"/>
            </v:line>
          </w:pict>
        </mc:Fallback>
      </mc:AlternateContent>
    </w:r>
  </w:p>
  <w:p w:rsidR="00ED49EF" w:rsidRDefault="00ED49EF" w:rsidP="00ED49EF">
    <w:pPr>
      <w:tabs>
        <w:tab w:val="left" w:pos="2392"/>
      </w:tabs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487522816" behindDoc="0" locked="0" layoutInCell="1" allowOverlap="1">
              <wp:simplePos x="0" y="0"/>
              <wp:positionH relativeFrom="column">
                <wp:posOffset>1120140</wp:posOffset>
              </wp:positionH>
              <wp:positionV relativeFrom="paragraph">
                <wp:posOffset>254000</wp:posOffset>
              </wp:positionV>
              <wp:extent cx="2924810" cy="730250"/>
              <wp:effectExtent l="0" t="0" r="0" b="0"/>
              <wp:wrapSquare wrapText="bothSides"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9EF" w:rsidRDefault="00ED49EF" w:rsidP="00ED49EF">
                          <w:pPr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b/>
                              <w:color w:val="000080"/>
                              <w:sz w:val="24"/>
                            </w:rPr>
                            <w:t>C.E.D.E.S.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centro elaborazione dati e servizi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  <w:r>
                            <w:rPr>
                              <w:rFonts w:ascii="Artist" w:hAnsi="Artist" w:cs="Artist"/>
                              <w:color w:val="000080"/>
                              <w:sz w:val="21"/>
                            </w:rPr>
                            <w:t>soc. coop.</w:t>
                          </w:r>
                        </w:p>
                        <w:p w:rsidR="00ED49EF" w:rsidRDefault="00ED49EF" w:rsidP="00ED49EF">
                          <w:pPr>
                            <w:shd w:val="clear" w:color="auto" w:fill="FFFFFF"/>
                            <w:jc w:val="center"/>
                            <w:rPr>
                              <w:rFonts w:ascii="Artist" w:hAnsi="Artist" w:cs="Artist"/>
                              <w:color w:val="0000FF"/>
                              <w:sz w:val="21"/>
                            </w:rPr>
                          </w:pPr>
                        </w:p>
                        <w:p w:rsidR="00ED49EF" w:rsidRDefault="00ED49EF" w:rsidP="00ED49EF">
                          <w:pPr>
                            <w:pStyle w:val="Intestazione"/>
                            <w:shd w:val="clear" w:color="auto" w:fill="FFFFFF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88.2pt;margin-top:20pt;width:230.3pt;height:57.5pt;z-index:48752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2yfQIAAAc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" stroked="f">
              <v:textbox inset="0,0,0,0">
                <w:txbxContent>
                  <w:p w:rsidR="00ED49EF" w:rsidRDefault="00ED49EF" w:rsidP="00ED49EF">
                    <w:pPr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b/>
                        <w:color w:val="000080"/>
                        <w:sz w:val="24"/>
                      </w:rPr>
                      <w:t>C.E.D.E.S.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80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centro elaborazione dati e servizi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  <w:r>
                      <w:rPr>
                        <w:rFonts w:ascii="Artist" w:hAnsi="Artist" w:cs="Artist"/>
                        <w:color w:val="000080"/>
                        <w:sz w:val="21"/>
                      </w:rPr>
                      <w:t>soc. coop.</w:t>
                    </w:r>
                  </w:p>
                  <w:p w:rsidR="00ED49EF" w:rsidRDefault="00ED49EF" w:rsidP="00ED49EF">
                    <w:pPr>
                      <w:shd w:val="clear" w:color="auto" w:fill="FFFFFF"/>
                      <w:jc w:val="center"/>
                      <w:rPr>
                        <w:rFonts w:ascii="Artist" w:hAnsi="Artist" w:cs="Artist"/>
                        <w:color w:val="0000FF"/>
                        <w:sz w:val="21"/>
                      </w:rPr>
                    </w:pPr>
                  </w:p>
                  <w:p w:rsidR="00ED49EF" w:rsidRDefault="00ED49EF" w:rsidP="00ED49EF">
                    <w:pPr>
                      <w:pStyle w:val="Intestazione"/>
                      <w:shd w:val="clear" w:color="auto" w:fill="FFFFFF"/>
                      <w:tabs>
                        <w:tab w:val="clear" w:pos="4819"/>
                        <w:tab w:val="clear" w:pos="9638"/>
                      </w:tabs>
                      <w:rPr>
                        <w:sz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object w:dxaOrig="284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8.25pt;height:58.25pt" o:ole="" filled="t">
          <v:fill color2="black"/>
          <v:imagedata r:id="rId1" o:title=""/>
        </v:shape>
        <o:OLEObject Type="Embed" ProgID="Microsoft" ShapeID="_x0000_i1030" DrawAspect="Content" ObjectID="_1641656862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3C35"/>
    <w:multiLevelType w:val="hybridMultilevel"/>
    <w:tmpl w:val="0A326790"/>
    <w:lvl w:ilvl="0" w:tplc="6DD4E9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D3A979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4D2284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41BC3AD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708C18F2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4420DA02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19AC2A4A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DE6436B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54C8FD94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5"/>
    <w:rsid w:val="00CD7F55"/>
    <w:rsid w:val="00E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6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D4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49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4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9EF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6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D4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49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4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9E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creator>Rubino</dc:creator>
  <cp:lastModifiedBy>User</cp:lastModifiedBy>
  <cp:revision>2</cp:revision>
  <dcterms:created xsi:type="dcterms:W3CDTF">2020-01-27T18:01:00Z</dcterms:created>
  <dcterms:modified xsi:type="dcterms:W3CDTF">2020-01-27T18:01:00Z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2020-01-27T00:00:00Z</vt:filetime>
  </property>
</Properties>
</file>